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12,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12, 2020, Priority Technology Holdings, Inc. issued a press release announcing its financial results for the quarter ended June 30, 2020. A copy of that press release is attached as Exhibit 99.1 to this Current Report on Form 8-K.</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210" cy="8255"/>
                    </a:xfrm>
                    <a:prstGeom prst="rect">
                      <a:avLst/>
                    </a:prstGeom>
                    <a:noFill/>
                  </pic:spPr>
                </pic:pic>
              </a:graphicData>
            </a:graphic>
          </wp:anchor>
        </w:drawing>
      </w:r>
    </w:p>
    <w:p>
      <w:pPr>
        <w:spacing w:after="0" w:line="191" w:lineRule="exact"/>
        <w:rPr>
          <w:sz w:val="20"/>
          <w:szCs w:val="20"/>
          <w:color w:val="auto"/>
        </w:rPr>
      </w:pPr>
    </w:p>
    <w:p>
      <w:pPr>
        <w:spacing w:after="0"/>
        <w:tabs>
          <w:tab w:leader="none" w:pos="660" w:val="left"/>
        </w:tabs>
        <w:rPr>
          <w:rFonts w:ascii="Arial" w:cs="Arial" w:eastAsia="Arial" w:hAnsi="Arial"/>
          <w:sz w:val="16"/>
          <w:szCs w:val="16"/>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6"/>
            <w:szCs w:val="16"/>
            <w:u w:val="single" w:color="auto"/>
            <w:color w:val="0000FF"/>
          </w:rPr>
          <w:t>Press Release of Priority Technology Holdings, Inc. dated August 12, 2020</w:t>
        </w:r>
      </w:hyperlink>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12, 2020</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55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76593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 Announces Second Quarter 2020 Financial Results</w:t>
      </w:r>
    </w:p>
    <w:p>
      <w:pPr>
        <w:spacing w:after="0" w:line="3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ALPHARETTA, GA - August 12, 2020 -- Priority Technology Holdings, Inc. (NASDAQ: PRTH) (“Priority” or the “Company”), a leading provider of merchant acquiring, integrated payment software and commercial payment solutions, today announced its second quarter 2020 financial results.</w:t>
      </w:r>
    </w:p>
    <w:p>
      <w:pPr>
        <w:spacing w:after="0" w:line="200" w:lineRule="exact"/>
        <w:rPr>
          <w:sz w:val="20"/>
          <w:szCs w:val="20"/>
          <w:color w:val="auto"/>
        </w:rPr>
      </w:pPr>
    </w:p>
    <w:p>
      <w:pPr>
        <w:spacing w:after="0" w:line="218" w:lineRule="exact"/>
        <w:rPr>
          <w:sz w:val="20"/>
          <w:szCs w:val="20"/>
          <w:color w:val="auto"/>
        </w:rPr>
      </w:pPr>
    </w:p>
    <w:p>
      <w:pPr>
        <w:ind w:left="3980"/>
        <w:spacing w:after="0"/>
        <w:rPr>
          <w:sz w:val="20"/>
          <w:szCs w:val="20"/>
          <w:color w:val="auto"/>
        </w:rPr>
      </w:pPr>
      <w:r>
        <w:rPr>
          <w:rFonts w:ascii="Arial" w:cs="Arial" w:eastAsia="Arial" w:hAnsi="Arial"/>
          <w:sz w:val="20"/>
          <w:szCs w:val="20"/>
          <w:b w:val="1"/>
          <w:bCs w:val="1"/>
          <w:u w:val="single" w:color="auto"/>
          <w:color w:val="auto"/>
        </w:rPr>
        <w:t>Highlights of Consolidated Results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Second Quarter 2020, Compared with Second Quarter 2019</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second quarter of 2020 began with nationwide shelter in place orders due to the COVID-19 pandemic. Priority’s April results were reflective of this with merchant bankcard processing dollar volumes down 31.8% year over year, and a corresponding, albeit more modest, revenue decline of 11.7%. As we quickly adapted to the new market dynamic, and the strength of our product offering and counter-cyclical assets accelerated, May and June results posted strong improvements. In May, merchant bankcard processing dollar volumes declined 15.8% year over year, however, revenue increased by 1.7%. In June, merchant bankcard processing dollar volumes showed a modest decline of 1.9% year over year, with a revenue increase of 10.8%.</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the full quarter, increases in ecommerce volume mix and product-driven vertical segment growth resulted in a modest revenue increase in spite of the total processing volume declines. This revenue stability, coupled with the implementation of thoughtful expense management strategies, contributed to year over year adjusted EBITDA growth in each of April, May and June, with 11.6% growth for the full quarter. Monthly adjusted EBITDA in the second quarter of 2020 was $4.6 million in April, $5.9 million in May, and $6.2 million in June. The Company’s non-GAAP adjusted EBITDA measure is net loss before interest, taxes, depreciation and amortization, further adjusted for non-cash stock-based compensation and certain expenses considered non-recurring. See “Non-GAAP Adjusted EBITDA” and “Non-GAAP Financial Measures” for additional information and the reconciliation of adjusted EBITDA to its most comparable GAAP measure provided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second quarter of 2020, compared with the second quarter of 2019 are as follows (any differences are due to rounding):</w:t>
      </w:r>
    </w:p>
    <w:p>
      <w:pPr>
        <w:spacing w:after="0" w:line="23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Revenue of $92.4 million increased 0.2% from $92.1 million.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Gross profit of $30.0 million decreased 0.6% from $30.1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Gross profit margin of 32.4% decreased 27 basis points from 32.7%.</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Income from operations of $4.0 million increased $1.6 million from $2.4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Net loss of $7.9 million decreased $6.3 million from $14.1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EBITDA of $16.7 million increased 11.6% from $14.9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Merchant bankcard processing dollar volume of $9.2 billion decreased 16.0% from $11.0 billion.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7" w:right="3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9"/>
          <w:szCs w:val="19"/>
          <w:color w:val="222222"/>
        </w:rPr>
        <w:t>“The combination of our countercyclical payment assets and acceleration of our operating automation initiatives to reduced expenses resulted in strong revenue and adjusted EBITDA growth in the second quarter despite the unprecedented headwinds presented by the COVID-19 pandemic,” said Tom Priore, Executive Chairman and CEO of Priority. “We quickly responded with solutions to market needs among our clients and reselling partners as nationwide shelter-in-place went into effect in April. As states reopened in May and June and overall volume trends improved, the momentum of our ecommerce, B2B and integrated partners businesses continued to accelerate, driving strong overall results for the quarter. We believe our performance through the height of the pandemic underscores the differentiation of our technology, sales and operating platform and anticipate our current momentum to continue.”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Adjusted EBITDA</w:t>
      </w:r>
    </w:p>
    <w:p>
      <w:pPr>
        <w:spacing w:after="0" w:line="2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Selling, general and administrative expenses included certain operating expenses that the Company considers non-recurring in nature. These expenses totaled $1.4 million and $1.6 million in the second quarters of 2020 and 2019, respectively. In the second quarter of 2020, these expenses included $0.8 million associated with transition services from YapStone, Inc. related to the integration of the March 2019 asset acquisition and $0.4 million for certain legal services. In the second quarter of 2019, these expenses included $0.7 million associated with transition services from YapStone Inc., $0.5 million for transaction-related, capital markets and accounting advisory services, and $0.4 million for certain legal services.</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Also, salaries and employee benefits included $0.7 million and $1.0 million of non-cash stock-based compensation in the second quarters of 2020 and 2019, respectively.</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Non-GAAP adjusted EBITDA, which excludes these expenses, was $16.7 million in the second quarter of 2020 and $14.9 million in the second quarter of 2019. See “Non-GAAP Financial Measures” and the reconciliation of adjusted EBITDA to its most comparable GAAP measure provided below for additional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Discussion of Reportable Segment Results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Payments Reportable Segment</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Consumer Payments revenue in the second quarter of 2020 increased 0.3% to $81.7 million, compared with $81.5 million in the second quarter of 2019. Despite a 16.4% decline in merchant bankcard processing dollar volume in the quarter, the revenue increase was driven by strong ecommerce growth. The overall merchant mix also resulted in a higher average ticket.</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Merchant bankcard volume processed in the second quarter of 2020 of $9.0 billion declined by 16.4%, as compared with $10.8 billion in the second quarter of 2019. Merchant bankcard transactions of 92.8 million in the second quarter of 2020 declined by 28.7%, as compared with 130.1 million in the second quarter of 2019. Average ticket of $97.06 grew 17.2% in the second quarter of 2020, as compared with $82.79 in the second quarter of 2019.</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Consumer Payments income from operations in the second quarter of 2020 was $7.3 million, compared with $7.4 million in the second quarter of 2019. Costs of services of $59.1 million increased $1.1 million, depreciation and amortization of $8.7 million increased $0.6 million, and other operating expenses of $6.7 million decreased $1.3 million.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Payments Reportable Segment</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Commercial Payments revenue in the second quarter of 2020 was $5.7 million, a decrease of $0.8 million compared with $6.5 million in the second quarter of 2019. Revenue from commercial payments exchange (“CPX”) accounts payable automated solutions of $1.4 million in the second quarter of 2020 increased $0.1 million compared with $1.3 million in the second quarter of 2019. Revenue from curated managed services programs of $4.3 million in the second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84" w:right="339" w:bottom="1440" w:gutter="0" w:footer="0" w:header="0"/>
        </w:sectPr>
      </w:pPr>
    </w:p>
    <w:bookmarkStart w:id="4" w:name="page5"/>
    <w:bookmarkEnd w:id="4"/>
    <w:p>
      <w:pPr>
        <w:jc w:val="both"/>
        <w:spacing w:after="0" w:line="260" w:lineRule="auto"/>
        <w:rPr>
          <w:sz w:val="20"/>
          <w:szCs w:val="20"/>
          <w:color w:val="auto"/>
        </w:rPr>
      </w:pPr>
      <w:r>
        <w:rPr>
          <w:rFonts w:ascii="Arial" w:cs="Arial" w:eastAsia="Arial" w:hAnsi="Arial"/>
          <w:sz w:val="20"/>
          <w:szCs w:val="20"/>
          <w:color w:val="auto"/>
        </w:rPr>
        <w:t>quarter of 2020 decreased by $0.9 million compared with $5.2 million in the second quarter of 2019. The managed services decline was largely driven by lower program activity and lower incentive revenue.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Commercial Payments income from operations in the second quarter of 2020 was $0.5 million, compared with a loss from operations of $0.3 million in the second quarter of 2019. Costs of services of $2.6 million decreased $0.8 million, and other operating expenses decreased $0.8 million.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Integrated Partners Reportable Segment</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Integrated Partners revenue in the second quarter of 2020 was $5.0 million, an increase of $0.8 million compared with $4.2 million in the second quarter of 2019. Priority Real Estate Technology ("PRET") comprised $4.5 million of this reportable segment’s revenue in the second quarter of 2020. PRET is comprised of the assets acquired from YapStone, Inc. in March 2019 and the net assets acquired from RadPad Holdings, Inc. in July 2018. Revenue from Priority PayRight Health Solutions and Priority Hospitality Technology, which commenced operations in April 2018 and February 2019, respectively, comprised the remainder of this reportable segment’s revenue.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Integrated Partners income from operations in the second quarter of 2020 was $0.8 million, compared with $0.6 million in the second quarter of 2019. Costs of services of $0.7 million increased $0.1 million, depreciation and amortization of $1.3 million increased $0.2 million, and other operating expenses of $2.1 million increased $0.2 million. Depreciation and amortization expense is primarily related to assets acquired from YapStone, Inc. Other operating expenses included $0.8 million and $0.7 million of temporary transition services from YapStone, Inc. related to integration of the asset acquisition in the second quarter of 2020 and 2019, respectively. Integrated Partners adjusted income from operations was $1.7 million in the second quarter of 2020 and $1.3 million in the second quarter of 2019, excluding these temporary transition services. See “Non-GAAP Financial Measures” and the reconciliation of Integrated Partners adjusted income from operations to its most comparable GAAP measure provided below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Corporate expense in the second quarter of 2020 was $4.6 million, compared with $5.2 million in the second quarter of 2019. Non-recurring operating expenses were $0.5 million in the second quarter of 2020 and $0.8 million in the second quarter of 2019. Excluding non-recurring operating expenses, Corporate expense was $4.0 million and $4.4 million in the second quarter of 2020 and 2019, respectively. See “Non-GAAP Financial Measures” and the reconciliation of adjusted Corporate expense to its most comparable GAAP measure provided below for additional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Outlook</w:t>
      </w:r>
    </w:p>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Priority continues to closely monitor the business impact of the COVID-19 pandemic. Our top priority remains ensuring the health and safety of our employees, and the communities in which we live and work. We have taken numerous actions to safeguard our team members, such as encouraging work from home and restricting business travel. The Company continues to operate normally, and we have not incurred, nor do we anticipate incurring, any significant impact to service operations.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222222"/>
        </w:rPr>
        <w:t>Priore concluded, “The actions we have taken over the past several quarters to build defensive and counter-cyclical payment operating assets and reduce expenses through automation have positioned the business for success in any market environment to deliver long-term shareholder value. Our second quarter performance where we generated improved year-over-year results during a time of unprecedented uncertainty following the coronavirus outbreak provides strong evidence. While there continues to be considerable uncertainty regarding the duration and severity of the pandemic, we are excited by our market position, will remain focused on managing our cost structure to align with industry demand and will continue to deliver the industry-leading products and services that our customers have come to expect. For the time being we will continue to refrain from providing financial guidance for full year 2020. However, should the current economic environment continue, we are optimistic that our financial results during the remaining months in 2020 will continue to improve over those we delivered in June.”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5"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70707"/>
        </w:rPr>
        <w:t xml:space="preserve">Priority Technology Holdings, Inc.’s leadership will host a conference call on Thursday, August 13, 2020 at 11:00 a.m. EDT to discuss its second quarter 2020 financial results. Participants can access the call by </w:t>
      </w:r>
      <w:r>
        <w:rPr>
          <w:rFonts w:ascii="Arial" w:cs="Arial" w:eastAsia="Arial" w:hAnsi="Arial"/>
          <w:sz w:val="20"/>
          <w:szCs w:val="20"/>
          <w:color w:val="000000"/>
        </w:rPr>
        <w:t>Phone: US/Canada: (877) 501-3161 or International: (786) 815-8443.</w:t>
      </w:r>
    </w:p>
    <w:p>
      <w:pPr>
        <w:spacing w:after="0" w:line="180"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 xml:space="preserve">The Internet webcast link and accompanying slide presentation can be accessed at </w:t>
      </w:r>
      <w:r>
        <w:rPr>
          <w:rFonts w:ascii="Arial" w:cs="Arial" w:eastAsia="Arial" w:hAnsi="Arial"/>
          <w:sz w:val="18"/>
          <w:szCs w:val="18"/>
          <w:b w:val="1"/>
          <w:bCs w:val="1"/>
          <w:u w:val="single" w:color="auto"/>
          <w:color w:val="0000FF"/>
        </w:rPr>
        <w:t>https://edge.media-server.com/mmc/p/cxkccgsq</w:t>
      </w:r>
      <w:r>
        <w:rPr>
          <w:rFonts w:ascii="Arial" w:cs="Arial" w:eastAsia="Arial" w:hAnsi="Arial"/>
          <w:sz w:val="18"/>
          <w:szCs w:val="18"/>
          <w:color w:val="auto"/>
        </w:rPr>
        <w:t xml:space="preserve"> and will also be posted in the “Investor Relations” section of the Company’s website at </w:t>
      </w:r>
      <w:r>
        <w:rPr>
          <w:rFonts w:ascii="Arial" w:cs="Arial" w:eastAsia="Arial" w:hAnsi="Arial"/>
          <w:sz w:val="18"/>
          <w:szCs w:val="18"/>
          <w:u w:val="single" w:color="auto"/>
          <w:color w:val="0563C1"/>
        </w:rPr>
        <w:t>www.PRTH.com</w:t>
      </w:r>
      <w:r>
        <w:rPr>
          <w:rFonts w:ascii="Arial" w:cs="Arial" w:eastAsia="Arial" w:hAnsi="Arial"/>
          <w:sz w:val="18"/>
          <w:szCs w:val="18"/>
          <w:color w:val="auto"/>
        </w:rPr>
        <w:t>.</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An audio replay of the call will be available shortly after the conference call until August 16, 2020 at 11:30 am Eastern Time. To listen to the audio replay, dial (855) 859-2056 or (404) 537-3406 and enter conference ID number </w:t>
      </w:r>
      <w:r>
        <w:rPr>
          <w:rFonts w:ascii="Arial" w:cs="Arial" w:eastAsia="Arial" w:hAnsi="Arial"/>
          <w:sz w:val="20"/>
          <w:szCs w:val="20"/>
          <w:b w:val="1"/>
          <w:bCs w:val="1"/>
          <w:color w:val="auto"/>
        </w:rPr>
        <w:t>4283396</w:t>
      </w:r>
      <w:r>
        <w:rPr>
          <w:rFonts w:ascii="Arial" w:cs="Arial" w:eastAsia="Arial" w:hAnsi="Arial"/>
          <w:sz w:val="20"/>
          <w:szCs w:val="20"/>
          <w:color w:val="auto"/>
        </w:rPr>
        <w:t xml:space="preserve">. Alternatively, you may access the webcast replay in the “Investor Relations” section of the Company’s website at </w:t>
      </w:r>
      <w:r>
        <w:rPr>
          <w:rFonts w:ascii="Arial" w:cs="Arial" w:eastAsia="Arial" w:hAnsi="Arial"/>
          <w:sz w:val="20"/>
          <w:szCs w:val="20"/>
          <w:u w:val="single" w:color="auto"/>
          <w:color w:val="0563C1"/>
        </w:rPr>
        <w:t>www.PRTH.com</w:t>
      </w:r>
      <w:r>
        <w:rPr>
          <w:rFonts w:ascii="Arial" w:cs="Arial" w:eastAsia="Arial" w:hAnsi="Arial"/>
          <w:sz w:val="20"/>
          <w:szCs w:val="20"/>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0A0A0A"/>
        </w:rPr>
        <w:t>Non-GAAP Financial Measures</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Profit and Gross Profit Margin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non-GAAP gross profit metric represents revenues less costs of services. Gross profit margin is gross profit divided by revenues. We review these non-GAAP measures to evaluate our underlying profit trends.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Integrated Partners Income from Operations and Adjusted Corporate Expense</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Adjusted Integrated Partners income from operations and adjusted Corporate expense in the second quarter of 2020 have been negatively affected by non-recurring operating expenses largely associated with certain legal services and transition services from YapStone, Inc. We review these non-GAAP measures to evaluate our underlying profitability performance and trends.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 and Consolidated Adjusted EBITDA</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EBITDA is earnings before interest, income tax, depreciation and amortization expenses (“EBITDA”). Adjusted EBITDA begins with EBITDA but further excludes certain non-cash costs, such as stock-based compensation and the write-off of the carrying value of an equity-method investment, as well as debt modification expenses and other non-recurring expenses, including certain legal and transition services expenses. Consolidated adjusted EBITDA begins with Adjusted EBITDA but further includes adjustments for the pro-forma impact of acquisitions, as well as adjustments to exclude other professional and consulting fees and certain other tax expenses and other adjustments. We review these non-GAAP adjusted EBITDA and consolidated adjusted EBITDA measures to evaluate our business and trends, measure our performance, prepare financial projections, allocate resources, and make strategic decisions.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reconciliations of gross profit, gross profit margin, adjusted Integrated Partners income from operations, adjusted Corporate expense, adjusted EBITDA and consolidated adjusted EBITDA to the most directly comparable financial measures calculated and presented in accordance with GAAP, are shown in the attached schedules to this press release.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73" w:right="3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9"/>
          <w:szCs w:val="19"/>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Forward-Looking Statements</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our 2020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Annual Report on Form 10-K and our Quarterly Report on Form 10-Q filed with the SEC on March 30, 2020 and May 13, 2020, respectively. These filings are available online at www.sec.gov or www.PRTH.com.</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5" w:right="339"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shd w:val="clear" w:color="auto" w:fill="CCEEFF"/>
          </w:tcPr>
          <w:p>
            <w:pPr>
              <w:spacing w:after="0"/>
              <w:rPr>
                <w:sz w:val="22"/>
                <w:szCs w:val="22"/>
                <w:color w:val="auto"/>
              </w:rPr>
            </w:pPr>
          </w:p>
        </w:tc>
        <w:tc>
          <w:tcPr>
            <w:tcW w:w="298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shd w:val="clear" w:color="auto" w:fill="CCEEFF"/>
          </w:tcPr>
          <w:p>
            <w:pPr>
              <w:spacing w:after="0"/>
              <w:rPr>
                <w:sz w:val="22"/>
                <w:szCs w:val="22"/>
                <w:color w:val="auto"/>
              </w:rPr>
            </w:pPr>
          </w:p>
        </w:tc>
        <w:tc>
          <w:tcPr>
            <w:tcW w:w="264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43"/>
        </w:trPr>
        <w:tc>
          <w:tcPr>
            <w:tcW w:w="46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0"/>
        </w:trPr>
        <w:tc>
          <w:tcPr>
            <w:tcW w:w="4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92,356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92,142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189,289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179,788</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services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122,109</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2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21,255</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18,686</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6,008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14,336</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176,386</w:t>
            </w:r>
          </w:p>
        </w:tc>
      </w:tr>
      <w:tr>
        <w:trPr>
          <w:trHeight w:val="156"/>
        </w:trPr>
        <w:tc>
          <w:tcPr>
            <w:tcW w:w="46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r>
      <w:tr>
        <w:trPr>
          <w:trHeight w:val="27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3,402</w:t>
            </w:r>
          </w:p>
        </w:tc>
      </w:tr>
      <w:tr>
        <w:trPr>
          <w:trHeight w:val="209"/>
        </w:trPr>
        <w:tc>
          <w:tcPr>
            <w:tcW w:w="4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(20,139)</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37"/>
        </w:trPr>
        <w:tc>
          <w:tcPr>
            <w:tcW w:w="4660" w:type="dxa"/>
            <w:vAlign w:val="bottom"/>
          </w:tcPr>
          <w:p>
            <w:pPr>
              <w:ind w:left="280"/>
              <w:spacing w:after="0"/>
              <w:rPr>
                <w:sz w:val="20"/>
                <w:szCs w:val="20"/>
                <w:color w:val="auto"/>
              </w:rPr>
            </w:pPr>
            <w:r>
              <w:rPr>
                <w:rFonts w:ascii="Arial" w:cs="Arial" w:eastAsia="Arial" w:hAnsi="Arial"/>
                <w:sz w:val="18"/>
                <w:szCs w:val="18"/>
                <w:color w:val="auto"/>
              </w:rPr>
              <w:t>Total other expenses, net</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(19,774)</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9"/>
        </w:trPr>
        <w:tc>
          <w:tcPr>
            <w:tcW w:w="4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(16,372)</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5"/>
        </w:trPr>
        <w:tc>
          <w:tcPr>
            <w:tcW w:w="4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4,204</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5"/>
        </w:trPr>
        <w:tc>
          <w:tcPr>
            <w:tcW w:w="4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303"/>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(20,576)</w:t>
            </w:r>
          </w:p>
        </w:tc>
      </w:tr>
      <w:tr>
        <w:trPr>
          <w:trHeight w:val="230"/>
        </w:trPr>
        <w:tc>
          <w:tcPr>
            <w:tcW w:w="4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175"/>
        </w:trPr>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67,161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00"/>
          </w:cols>
          <w:pgMar w:left="320" w:top="553" w:right="779" w:bottom="1440" w:gutter="0" w:footer="0" w:header="0"/>
        </w:sectPr>
      </w:pPr>
    </w:p>
    <w:bookmarkStart w:id="8" w:name="page9"/>
    <w:bookmarkEnd w:id="8"/>
    <w:p>
      <w:pPr>
        <w:ind w:left="374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i w:val="1"/>
                <w:iCs w:val="1"/>
                <w:color w:val="auto"/>
                <w:w w:val="92"/>
              </w:rPr>
              <w:t>Unaudited</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43"/>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 2020</w:t>
            </w:r>
          </w:p>
        </w:tc>
        <w:tc>
          <w:tcPr>
            <w:tcW w:w="20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47,231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3,897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notes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Settlement assets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94,214</w:t>
            </w:r>
          </w:p>
        </w:tc>
      </w:tr>
      <w:tr>
        <w:trPr>
          <w:trHeight w:val="297"/>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less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Property, equipment, and software, net</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24,127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23,518</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168,751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182,826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449,699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464,505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Accrued residual commissions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22,434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19,315</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11,724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4,007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37,789</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96,160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93,004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7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480,639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485,578</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487,037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492,190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69"/>
        </w:trPr>
        <w:tc>
          <w:tcPr>
            <w:tcW w:w="7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583,197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585,194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7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Treasury stock, at cost</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(127,674)</w:t>
            </w:r>
          </w:p>
        </w:tc>
      </w:tr>
      <w:tr>
        <w:trPr>
          <w:trHeight w:val="236"/>
        </w:trPr>
        <w:tc>
          <w:tcPr>
            <w:tcW w:w="7080" w:type="dxa"/>
            <w:vAlign w:val="bottom"/>
          </w:tcPr>
          <w:p>
            <w:pPr>
              <w:ind w:left="280"/>
              <w:spacing w:after="0"/>
              <w:rPr>
                <w:sz w:val="20"/>
                <w:szCs w:val="20"/>
                <w:color w:val="auto"/>
              </w:rPr>
            </w:pPr>
            <w:r>
              <w:rPr>
                <w:rFonts w:ascii="Arial" w:cs="Arial" w:eastAsia="Arial" w:hAnsi="Arial"/>
                <w:sz w:val="18"/>
                <w:szCs w:val="18"/>
                <w:color w:val="auto"/>
              </w:rPr>
              <w:t>Total Priority Technology Holdings, Inc. stockholders' deficit</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(126,343)</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r>
      <w:tr>
        <w:trPr>
          <w:trHeight w:val="236"/>
        </w:trPr>
        <w:tc>
          <w:tcPr>
            <w:tcW w:w="708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(120,689)</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7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64"/>
        </w:trPr>
        <w:tc>
          <w:tcPr>
            <w:tcW w:w="7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deficit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449,699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464,505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553"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shd w:val="clear" w:color="auto" w:fill="CCEEFF"/>
          </w:tcPr>
          <w:p>
            <w:pPr>
              <w:spacing w:after="0"/>
              <w:rPr>
                <w:sz w:val="22"/>
                <w:szCs w:val="22"/>
                <w:color w:val="auto"/>
              </w:rPr>
            </w:pPr>
          </w:p>
        </w:tc>
        <w:tc>
          <w:tcPr>
            <w:tcW w:w="3100" w:type="dxa"/>
            <w:vAlign w:val="bottom"/>
            <w:tcBorders>
              <w:bottom w:val="single" w:sz="8" w:color="auto"/>
            </w:tcBorders>
            <w:gridSpan w:val="4"/>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43"/>
        </w:trPr>
        <w:tc>
          <w:tcPr>
            <w:tcW w:w="7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(20,576)</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Depreciation and amortization of assets</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18,686</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Equity-classified and liability-classified stock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Amortization of debt issuance costs and discounts</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819</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for deferred income taxes, net of change in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4,222</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Payment-in-kind interest</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2,479</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items, net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Settlement assets and obligations, net</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5,184</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Customer deposits and advance payments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 net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7"/>
        </w:trPr>
        <w:tc>
          <w:tcPr>
            <w:tcW w:w="776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9,822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3,720</w:t>
            </w:r>
          </w:p>
        </w:tc>
      </w:tr>
      <w:tr>
        <w:trPr>
          <w:trHeight w:val="27"/>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equipment and software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Acquisitions of intangible assets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(81,240)</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 loan funding</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Other investing activity</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(89,776)</w:t>
            </w:r>
          </w:p>
        </w:tc>
      </w:tr>
      <w:tr>
        <w:trPr>
          <w:trHeight w:val="277"/>
        </w:trPr>
        <w:tc>
          <w:tcPr>
            <w:tcW w:w="77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 net of issue discount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69,650</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Debt modification costs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revolving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Repayments under revolving credit facility</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37"/>
        </w:trPr>
        <w:tc>
          <w:tcPr>
            <w:tcW w:w="7760" w:type="dxa"/>
            <w:vAlign w:val="bottom"/>
          </w:tcPr>
          <w:p>
            <w:pPr>
              <w:ind w:left="2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79,437</w:t>
            </w:r>
          </w:p>
        </w:tc>
      </w:tr>
      <w:tr>
        <w:trPr>
          <w:trHeight w:val="27"/>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7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Net change in cash and restricted cash:</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(6,619)</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Cash and restricted cash at beginning of period</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50,465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33,831</w:t>
            </w:r>
          </w:p>
        </w:tc>
      </w:tr>
      <w:tr>
        <w:trPr>
          <w:trHeight w:val="27"/>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restricted 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27,212</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6"/>
        </w:trPr>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17,032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16,595</w:t>
            </w: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553"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Reportable Segments' Results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shd w:val="clear" w:color="auto" w:fill="CCEEFF"/>
          </w:tcPr>
          <w:p>
            <w:pPr>
              <w:spacing w:after="0"/>
              <w:rPr>
                <w:sz w:val="22"/>
                <w:szCs w:val="22"/>
                <w:color w:val="auto"/>
              </w:rPr>
            </w:pPr>
          </w:p>
        </w:tc>
        <w:tc>
          <w:tcPr>
            <w:tcW w:w="310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52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81,454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74,437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74,091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7,270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5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9,010,908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10,774,149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(1,763,241)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Commercial Payments: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6,496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97"/>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(268.4)%</w:t>
            </w:r>
          </w:p>
        </w:tc>
      </w:tr>
      <w:tr>
        <w:trPr>
          <w:trHeight w:val="23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Integrated Partners: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14.6 %</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47.7 %</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16"/>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122,089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106,162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15,927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97"/>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Less: Corporate expense</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Corporate depreciation and amortization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9,197,245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10,954,840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(1,757,595)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93,251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130,538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(37,287)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(28.6)%</w:t>
            </w: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553"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Reportable Segments'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shd w:val="clear" w:color="auto" w:fill="CCEEFF"/>
          </w:tcPr>
          <w:p>
            <w:pPr>
              <w:spacing w:after="0"/>
              <w:rPr>
                <w:sz w:val="22"/>
                <w:szCs w:val="22"/>
                <w:color w:val="auto"/>
              </w:rPr>
            </w:pPr>
          </w:p>
        </w:tc>
        <w:tc>
          <w:tcPr>
            <w:tcW w:w="3000" w:type="dxa"/>
            <w:vAlign w:val="bottom"/>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43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4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Consumer Payments: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160,463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153,316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145,381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7,935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15,082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438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4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19,397,656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20,984,904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(1,587,248)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251,030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4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13,154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13,887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97"/>
        </w:trPr>
        <w:tc>
          <w:tcPr>
            <w:tcW w:w="4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(269.0)%</w:t>
            </w:r>
          </w:p>
        </w:tc>
      </w:tr>
      <w:tr>
        <w:trPr>
          <w:trHeight w:val="237"/>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9"/>
        </w:trPr>
        <w:tc>
          <w:tcPr>
            <w:tcW w:w="4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136,925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9"/>
        </w:trPr>
        <w:tc>
          <w:tcPr>
            <w:tcW w:w="4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54.4 %</w:t>
            </w: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42.6 %</w:t>
            </w:r>
          </w:p>
        </w:tc>
      </w:tr>
      <w:tr>
        <w:trPr>
          <w:trHeight w:val="27"/>
        </w:trPr>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257.8 %</w:t>
            </w:r>
          </w:p>
        </w:tc>
      </w:tr>
      <w:tr>
        <w:trPr>
          <w:trHeight w:val="20"/>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438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48.0 %</w:t>
            </w:r>
          </w:p>
        </w:tc>
      </w:tr>
      <w:tr>
        <w:trPr>
          <w:trHeight w:val="216"/>
        </w:trPr>
        <w:tc>
          <w:tcPr>
            <w:tcW w:w="4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246,607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140,147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106,460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76.0 %</w:t>
            </w: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69.9 %</w:t>
            </w:r>
          </w:p>
        </w:tc>
      </w:tr>
      <w:tr>
        <w:trPr>
          <w:trHeight w:val="270"/>
        </w:trPr>
        <w:tc>
          <w:tcPr>
            <w:tcW w:w="4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Corporate expense</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(11,286)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123.1 %</w:t>
            </w:r>
          </w:p>
        </w:tc>
      </w:tr>
      <w:tr>
        <w:trPr>
          <w:trHeight w:val="20"/>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4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Key indicators: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19,781,188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21,269,477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(1,488,289)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213,155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251,580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(15.3)%</w:t>
            </w:r>
          </w:p>
        </w:tc>
      </w:tr>
    </w:tbl>
    <w:p>
      <w:pPr>
        <w:spacing w:after="0" w:line="200" w:lineRule="exact"/>
        <w:rPr>
          <w:sz w:val="20"/>
          <w:szCs w:val="20"/>
          <w:color w:val="auto"/>
        </w:rPr>
      </w:pPr>
    </w:p>
    <w:p>
      <w:pPr>
        <w:sectPr>
          <w:pgSz w:w="11900" w:h="16838" w:orient="portrait"/>
          <w:cols w:equalWidth="0" w:num="1">
            <w:col w:w="10360"/>
          </w:cols>
          <w:pgMar w:left="760" w:top="769" w:right="77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360"/>
          </w:cols>
          <w:pgMar w:left="760" w:top="769" w:right="77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non-GAAP reconciliations of Consolidated Gross Profit, Consolidated Gross Profit Margin, Adjusted Integrated Partners Income from Operations, and Adjusted Corporate Expense to the most directly comparable financial measures calculated and presented in accordance with GAAP, are shown in the table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shd w:val="clear" w:color="auto" w:fill="CCEEFF"/>
          </w:tcPr>
          <w:p>
            <w:pPr>
              <w:spacing w:after="0"/>
              <w:rPr>
                <w:sz w:val="22"/>
                <w:szCs w:val="22"/>
                <w:color w:val="auto"/>
              </w:rPr>
            </w:pPr>
          </w:p>
        </w:tc>
        <w:tc>
          <w:tcPr>
            <w:tcW w:w="298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shd w:val="clear" w:color="auto" w:fill="CCEEFF"/>
          </w:tcPr>
          <w:p>
            <w:pPr>
              <w:spacing w:after="0"/>
              <w:rPr>
                <w:sz w:val="22"/>
                <w:szCs w:val="22"/>
                <w:color w:val="auto"/>
              </w:rPr>
            </w:pPr>
          </w:p>
        </w:tc>
        <w:tc>
          <w:tcPr>
            <w:tcW w:w="276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Consolidated - Gross Profit: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92,356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92,142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189,289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179,788</w:t>
            </w: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Costs of services</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62,398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62,003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128,762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122,109</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 (non-GAAP)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29,958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30,139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60,527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57,679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 margin (non-GAAP)</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Integrated Partners - Adjusted 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Non-recurring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5"/>
        </w:trPr>
        <w:tc>
          <w:tcPr>
            <w:tcW w:w="48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Adjusted Integrated Partners income from operations (non-</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1,684</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1,319</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2,948</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1,086</w:t>
            </w:r>
          </w:p>
        </w:tc>
        <w:tc>
          <w:tcPr>
            <w:tcW w:w="0" w:type="dxa"/>
            <w:vAlign w:val="bottom"/>
          </w:tcPr>
          <w:p>
            <w:pPr>
              <w:spacing w:after="0"/>
              <w:rPr>
                <w:sz w:val="1"/>
                <w:szCs w:val="1"/>
                <w:color w:val="auto"/>
              </w:rPr>
            </w:pPr>
          </w:p>
        </w:tc>
      </w:tr>
      <w:tr>
        <w:trPr>
          <w:trHeight w:val="281"/>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GAAP)</w:t>
            </w:r>
          </w:p>
        </w:tc>
        <w:tc>
          <w:tcPr>
            <w:tcW w:w="28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Corporate Expense - Adjusted:</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(11,286)</w:t>
            </w:r>
          </w:p>
        </w:tc>
        <w:tc>
          <w:tcPr>
            <w:tcW w:w="0" w:type="dxa"/>
            <w:vAlign w:val="bottom"/>
          </w:tcPr>
          <w:p>
            <w:pPr>
              <w:spacing w:after="0"/>
              <w:rPr>
                <w:sz w:val="1"/>
                <w:szCs w:val="1"/>
                <w:color w:val="auto"/>
              </w:rPr>
            </w:pP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Non-recurring expenses</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Corporate Expense (non-GAAP)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(8,240)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(9,271)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EBITDA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non-GAAP reconciliations of EBITDA, Adjusted EBITDA, and Consolidated Adjusted EBITDA to consolidated net loss, the most directly comparable financial measure calculated and presented in accordance with GAAP, are shown in the table below: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shd w:val="clear" w:color="auto" w:fill="CCEEFF"/>
          </w:tcPr>
          <w:p>
            <w:pPr>
              <w:spacing w:after="0"/>
              <w:rPr>
                <w:sz w:val="22"/>
                <w:szCs w:val="22"/>
                <w:color w:val="auto"/>
              </w:rPr>
            </w:pPr>
          </w:p>
        </w:tc>
        <w:tc>
          <w:tcPr>
            <w:tcW w:w="286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shd w:val="clear" w:color="auto" w:fill="CCEEFF"/>
          </w:tcPr>
          <w:p>
            <w:pPr>
              <w:spacing w:after="0"/>
              <w:rPr>
                <w:sz w:val="22"/>
                <w:szCs w:val="22"/>
                <w:color w:val="auto"/>
              </w:rPr>
            </w:pPr>
          </w:p>
        </w:tc>
        <w:tc>
          <w:tcPr>
            <w:tcW w:w="270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43"/>
        </w:trPr>
        <w:tc>
          <w:tcPr>
            <w:tcW w:w="49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9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(7,858)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(14,130)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(13,727)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(20,576)</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20,139</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20,635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18,686</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4,204</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EBITDA (non-GAAP)</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28,073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22,453</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Add: Non-cash stock-based compensation</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2,183</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Non-recurring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Debt modification expenses</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 of an equity-method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Certain legal services (2)</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885</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accounting and consulting fees (3)</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YapStone transition services</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747</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27,398</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Pro-forma impact of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Other adjustments and tax expenses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Consolidated Adjusted EBITDA (non-GAAP) (4)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16,936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31,161</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discount.</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settlement negotiation and other litigation expenses.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194" w:lineRule="exact"/>
        <w:rPr>
          <w:rFonts w:ascii="Arial" w:cs="Arial" w:eastAsia="Arial" w:hAnsi="Arial"/>
          <w:sz w:val="16"/>
          <w:szCs w:val="16"/>
          <w:color w:val="auto"/>
        </w:rPr>
      </w:pPr>
    </w:p>
    <w:p>
      <w:pPr>
        <w:jc w:val="both"/>
        <w:ind w:firstLine="8"/>
        <w:spacing w:after="0" w:line="295" w:lineRule="auto"/>
        <w:tabs>
          <w:tab w:leader="none" w:pos="245"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Presented to reflect the definition in the Company's credit agreements, as amended. Until December 31, 2019, the Consolidated Adjusted EBITDA of the borrowers under the credit agreements excluded expenses of Priority Technology Holdings, Inc., which is neither a borrower nor a guarantor under the credit agreements, subsequent to its acquisition of Priority Holdings, LLC on July 25, 2018. Effective December 31, 2019, in accordance with the Sixth Amendment to the Company's Credit and Guaranty Agreement, the Consolidated Adjusted EBITDA of the borrowers under the credit agreements includes expenses of Priority Technology Holdings, Inc. Consolidated Adjusted EBITDA of the borrowers was approximately $18.9 million and $38.4 million for the three months and six months ended June 30, 2019, respectively. The amounts for the three months and six months ended June 30, 2019 excluded $3.6 million and $7.2 million, respectively, of expenses of Priority Technology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2020-08-13T05:11:10Z</dcterms:created>
  <dcterms:modified xsi:type="dcterms:W3CDTF">2020-08-13T05:11:10Z</dcterms:modified>
</cp:coreProperties>
</file>