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August 24, 2021</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128"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u w:val="single" w:color="auto"/>
          <w:color w:val="auto"/>
        </w:rPr>
        <w:t>Priority Technology Holdings, Inc.</w:t>
      </w: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20" w:type="dxa"/>
            <w:vAlign w:val="bottom"/>
          </w:tcPr>
          <w:p>
            <w:pPr>
              <w:spacing w:after="0"/>
              <w:rPr>
                <w:sz w:val="13"/>
                <w:szCs w:val="13"/>
                <w:color w:val="auto"/>
              </w:rPr>
            </w:pP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3"/>
                <w:szCs w:val="13"/>
                <w:color w:val="auto"/>
              </w:rPr>
            </w:pPr>
          </w:p>
        </w:tc>
      </w:tr>
      <w:tr>
        <w:trPr>
          <w:trHeight w:val="142"/>
        </w:trPr>
        <w:tc>
          <w:tcPr>
            <w:tcW w:w="4000" w:type="dxa"/>
            <w:vAlign w:val="bottom"/>
            <w:gridSpan w:val="2"/>
          </w:tcPr>
          <w:p>
            <w:pPr>
              <w:jc w:val="center"/>
              <w:ind w:right="360"/>
              <w:spacing w:after="0"/>
              <w:rPr>
                <w:sz w:val="20"/>
                <w:szCs w:val="20"/>
                <w:color w:val="auto"/>
              </w:rPr>
            </w:pPr>
            <w:r>
              <w:rPr>
                <w:rFonts w:ascii="Arial" w:cs="Arial" w:eastAsia="Arial" w:hAnsi="Arial"/>
                <w:sz w:val="12"/>
                <w:szCs w:val="12"/>
                <w:color w:val="auto"/>
                <w:w w:val="93"/>
              </w:rPr>
              <w:t>(State or other jurisdiction of incorporation)</w:t>
            </w:r>
          </w:p>
        </w:tc>
        <w:tc>
          <w:tcPr>
            <w:tcW w:w="3700" w:type="dxa"/>
            <w:vAlign w:val="bottom"/>
            <w:gridSpan w:val="4"/>
          </w:tcPr>
          <w:p>
            <w:pPr>
              <w:jc w:val="center"/>
              <w:ind w:right="340"/>
              <w:spacing w:after="0"/>
              <w:rPr>
                <w:sz w:val="20"/>
                <w:szCs w:val="20"/>
                <w:color w:val="auto"/>
              </w:rPr>
            </w:pPr>
            <w:r>
              <w:rPr>
                <w:rFonts w:ascii="Arial" w:cs="Arial" w:eastAsia="Arial" w:hAnsi="Arial"/>
                <w:sz w:val="12"/>
                <w:szCs w:val="12"/>
                <w:color w:val="auto"/>
                <w:w w:val="92"/>
              </w:rPr>
              <w:t>(Commission File Number)</w:t>
            </w: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28"/>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89"/>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91"/>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0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700" w:type="dxa"/>
            <w:vAlign w:val="bottom"/>
            <w:gridSpan w:val="4"/>
          </w:tcPr>
          <w:p>
            <w:pPr>
              <w:ind w:left="120"/>
              <w:spacing w:after="0"/>
              <w:rPr>
                <w:sz w:val="20"/>
                <w:szCs w:val="20"/>
                <w:color w:val="auto"/>
              </w:rPr>
            </w:pPr>
            <w:r>
              <w:rPr>
                <w:rFonts w:ascii="Arial" w:cs="Arial" w:eastAsia="Arial" w:hAnsi="Arial"/>
                <w:sz w:val="12"/>
                <w:szCs w:val="12"/>
                <w:b w:val="1"/>
                <w:bCs w:val="1"/>
                <w:color w:val="auto"/>
              </w:rPr>
              <w:t>Georgia</w:t>
            </w: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000" w:type="dxa"/>
            <w:vAlign w:val="bottom"/>
            <w:tcBorders>
              <w:top w:val="single" w:sz="8" w:color="auto"/>
            </w:tcBorders>
            <w:gridSpan w:val="2"/>
          </w:tcPr>
          <w:p>
            <w:pPr>
              <w:jc w:val="center"/>
              <w:ind w:left="1660"/>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9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568"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Arial" w:cs="Arial" w:eastAsia="Arial" w:hAnsi="Arial"/>
                <w:sz w:val="12"/>
                <w:szCs w:val="12"/>
                <w:color w:val="auto"/>
                <w:w w:val="96"/>
              </w:rPr>
              <w:t>Securities registered pursuant to Section 12(b) of the Act:</w:t>
            </w:r>
          </w:p>
        </w:tc>
        <w:tc>
          <w:tcPr>
            <w:tcW w:w="3520" w:type="dxa"/>
            <w:vAlign w:val="bottom"/>
          </w:tcPr>
          <w:p>
            <w:pPr>
              <w:spacing w:after="0"/>
              <w:rPr>
                <w:sz w:val="13"/>
                <w:szCs w:val="13"/>
                <w:color w:val="auto"/>
              </w:rPr>
            </w:pPr>
          </w:p>
        </w:tc>
      </w:tr>
      <w:tr>
        <w:trPr>
          <w:trHeight w:val="225"/>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2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right="84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36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Common stock, $0.001 par value</w:t>
            </w:r>
          </w:p>
        </w:tc>
        <w:tc>
          <w:tcPr>
            <w:tcW w:w="306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PRTH</w:t>
            </w:r>
          </w:p>
        </w:tc>
        <w:tc>
          <w:tcPr>
            <w:tcW w:w="3520" w:type="dxa"/>
            <w:vAlign w:val="bottom"/>
          </w:tcPr>
          <w:p>
            <w:pPr>
              <w:jc w:val="center"/>
              <w:ind w:right="840"/>
              <w:spacing w:after="0"/>
              <w:rPr>
                <w:sz w:val="20"/>
                <w:szCs w:val="20"/>
                <w:color w:val="auto"/>
              </w:rPr>
            </w:pPr>
            <w:r>
              <w:rPr>
                <w:rFonts w:ascii="Arial" w:cs="Arial" w:eastAsia="Arial" w:hAnsi="Arial"/>
                <w:sz w:val="12"/>
                <w:szCs w:val="12"/>
                <w:color w:val="auto"/>
                <w:w w:val="92"/>
              </w:rPr>
              <w:t>Nasdaq Global Market</w:t>
            </w:r>
          </w:p>
        </w:tc>
      </w:tr>
    </w:tbl>
    <w:p>
      <w:pPr>
        <w:spacing w:after="0" w:line="216" w:lineRule="exact"/>
        <w:rPr>
          <w:sz w:val="24"/>
          <w:szCs w:val="24"/>
          <w:color w:val="auto"/>
        </w:rPr>
      </w:pPr>
    </w:p>
    <w:p>
      <w:pPr>
        <w:ind w:left="8"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120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0" w:lineRule="exact"/>
        <w:rPr>
          <w:sz w:val="24"/>
          <w:szCs w:val="24"/>
          <w:color w:val="auto"/>
        </w:rPr>
      </w:pPr>
    </w:p>
    <w:p>
      <w:pPr>
        <w:ind w:left="8"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2"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On August 24, 2021, Priority Technology Holdings, Inc. (the “Company”) presented business and financial information to institutional investors, analysts, members of the press and general public at the 2021 BMO Virtual Technology</w:t>
      </w:r>
    </w:p>
    <w:p>
      <w:pPr>
        <w:spacing w:after="0" w:line="27" w:lineRule="exact"/>
        <w:rPr>
          <w:sz w:val="20"/>
          <w:szCs w:val="20"/>
          <w:color w:val="auto"/>
        </w:rPr>
      </w:pPr>
    </w:p>
    <w:p>
      <w:pPr>
        <w:spacing w:after="0" w:line="245" w:lineRule="auto"/>
        <w:rPr>
          <w:sz w:val="20"/>
          <w:szCs w:val="20"/>
          <w:color w:val="auto"/>
        </w:rPr>
      </w:pPr>
      <w:r>
        <w:rPr>
          <w:rFonts w:ascii="Arial" w:cs="Arial" w:eastAsia="Arial" w:hAnsi="Arial"/>
          <w:sz w:val="12"/>
          <w:szCs w:val="12"/>
          <w:color w:val="auto"/>
        </w:rPr>
        <w:t>Summit (the “Investor Meeting”), a publicly available webcast meeting. Attached hereto as an exhibit and incorporated by reference herein is the Investor Meeting presentation made by Tom Priore, Chief Executive Officer and Michael Vollkommer, Chief Financial Officer.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During the course of the Investor Meeting, the Company’s executives discussed the Company’s corporate strategy, financial performance and business update.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in this report shall not be treated as filed for purposes of the Securities Exchange Act of 1934, as amended.</w:t>
      </w: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(d) Exhibits – The following exhibit is furnished as part of this Current Report on Form 8-K.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3940" w:type="dxa"/>
            <w:vAlign w:val="bottom"/>
            <w:gridSpan w:val="2"/>
          </w:tcPr>
          <w:p>
            <w:pPr>
              <w:ind w:left="40"/>
              <w:spacing w:after="0"/>
              <w:rPr>
                <w:sz w:val="20"/>
                <w:szCs w:val="20"/>
                <w:color w:val="auto"/>
              </w:rPr>
            </w:pPr>
            <w:r>
              <w:rPr>
                <w:rFonts w:ascii="Arial" w:cs="Arial" w:eastAsia="Arial" w:hAnsi="Arial"/>
                <w:sz w:val="12"/>
                <w:szCs w:val="12"/>
                <w:b w:val="1"/>
                <w:bCs w:val="1"/>
                <w:color w:val="auto"/>
              </w:rPr>
              <w:t>Description of Exhibit</w:t>
            </w:r>
          </w:p>
        </w:tc>
      </w:tr>
      <w:tr>
        <w:trPr>
          <w:trHeight w:val="126"/>
        </w:trPr>
        <w:tc>
          <w:tcPr>
            <w:tcW w:w="220" w:type="dxa"/>
            <w:vAlign w:val="bottom"/>
            <w:tcBorders>
              <w:bottom w:val="single" w:sz="8" w:color="0000FF"/>
            </w:tcBorders>
          </w:tcPr>
          <w:p>
            <w:pPr>
              <w:spacing w:after="0" w:line="106" w:lineRule="exact"/>
              <w:rPr>
                <w:rFonts w:ascii="Arial" w:cs="Arial" w:eastAsia="Arial" w:hAnsi="Arial"/>
                <w:sz w:val="12"/>
                <w:szCs w:val="12"/>
                <w:color w:val="0000FF"/>
                <w:w w:val="85"/>
              </w:rPr>
            </w:pPr>
            <w:hyperlink w:anchor="page3">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1</w:t>
              </w:r>
            </w:hyperlink>
          </w:p>
        </w:tc>
        <w:tc>
          <w:tcPr>
            <w:tcW w:w="900" w:type="dxa"/>
            <w:vAlign w:val="bottom"/>
          </w:tcPr>
          <w:p>
            <w:pPr>
              <w:spacing w:after="0"/>
              <w:rPr>
                <w:sz w:val="10"/>
                <w:szCs w:val="10"/>
                <w:color w:val="auto"/>
              </w:rPr>
            </w:pPr>
          </w:p>
        </w:tc>
        <w:tc>
          <w:tcPr>
            <w:tcW w:w="3580" w:type="dxa"/>
            <w:vAlign w:val="bottom"/>
            <w:tcBorders>
              <w:bottom w:val="single" w:sz="8" w:color="0000FF"/>
            </w:tcBorders>
          </w:tcPr>
          <w:p>
            <w:pPr>
              <w:spacing w:after="0" w:line="106" w:lineRule="exact"/>
              <w:rPr>
                <w:rFonts w:ascii="Arial" w:cs="Arial" w:eastAsia="Arial" w:hAnsi="Arial"/>
                <w:sz w:val="12"/>
                <w:szCs w:val="12"/>
                <w:color w:val="0000FF"/>
                <w:w w:val="90"/>
              </w:rPr>
            </w:pPr>
            <w:hyperlink w:anchor="page3">
              <w:r>
                <w:rPr>
                  <w:rFonts w:ascii="Arial" w:cs="Arial" w:eastAsia="Arial" w:hAnsi="Arial"/>
                  <w:sz w:val="12"/>
                  <w:szCs w:val="12"/>
                  <w:color w:val="0000FF"/>
                  <w:w w:val="90"/>
                </w:rPr>
                <w:t>Priority Technology Investor Meeting Presentation, dated August 24, 2021</w:t>
              </w:r>
            </w:hyperlink>
          </w:p>
        </w:tc>
        <w:tc>
          <w:tcPr>
            <w:tcW w:w="360" w:type="dxa"/>
            <w:vAlign w:val="bottom"/>
          </w:tcPr>
          <w:p>
            <w:pPr>
              <w:spacing w:after="0"/>
              <w:rPr>
                <w:sz w:val="10"/>
                <w:szCs w:val="10"/>
                <w:color w:val="auto"/>
              </w:rPr>
            </w:pPr>
          </w:p>
        </w:tc>
      </w:tr>
      <w:tr>
        <w:trPr>
          <w:trHeight w:val="187"/>
        </w:trPr>
        <w:tc>
          <w:tcPr>
            <w:tcW w:w="220" w:type="dxa"/>
            <w:vAlign w:val="bottom"/>
          </w:tcPr>
          <w:p>
            <w:pPr>
              <w:spacing w:after="0"/>
              <w:rPr>
                <w:sz w:val="20"/>
                <w:szCs w:val="20"/>
                <w:color w:val="auto"/>
              </w:rPr>
            </w:pPr>
            <w:r>
              <w:rPr>
                <w:rFonts w:ascii="Arial" w:cs="Arial" w:eastAsia="Arial" w:hAnsi="Arial"/>
                <w:sz w:val="12"/>
                <w:szCs w:val="12"/>
                <w:color w:val="auto"/>
                <w:w w:val="99"/>
              </w:rPr>
              <w:t>104</w:t>
            </w:r>
          </w:p>
        </w:tc>
        <w:tc>
          <w:tcPr>
            <w:tcW w:w="90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2"/>
                <w:szCs w:val="12"/>
                <w:color w:val="auto"/>
                <w:w w:val="92"/>
              </w:rPr>
              <w:t>The cover page from this Current Report on Form 8-K, formatted in Inline XBRL.</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Dated: August 24, 2021</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1300"/>
          </w:cols>
          <w:pgMar w:left="300" w:top="649" w:right="2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2021-08-25T05:08:52Z</dcterms:created>
  <dcterms:modified xsi:type="dcterms:W3CDTF">2021-08-25T05:08:52Z</dcterms:modified>
</cp:coreProperties>
</file>