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064289298297.xml.htm"/>
      <w:bookmarkStart w:id="1" w:name="kswfform4_168064289298297"/>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Priore Thomas Charles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PRIORITY TECHNOLOGY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2001 WESTSIDE PARKWAY, SUITE 155</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ALPHARETTA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Priority Technology Holdings, Inc.</w:t>
              </w:r>
            </w:hyperlink>
            <w:r>
              <w:rPr/>
              <w:t xml:space="preserve"> [ </w:t>
            </w:r>
            <w:r>
              <w:rPr>
                <w:rFonts w:ascii="Times;serif" w:hAnsi="Times;serif"/>
                <w:color w:val="0000FF"/>
                <w:sz w:val="24"/>
                <w:highlight w:val="white"/>
              </w:rPr>
              <w:t>PRTH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President, CEO and Chairman</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03/22/2023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798"/>
        <w:gridCol w:w="451"/>
        <w:gridCol w:w="613"/>
        <w:gridCol w:w="1360"/>
        <w:gridCol w:w="993"/>
        <w:gridCol w:w="10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2"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6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12,500,000</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(1)</w:t>
            </w:r>
            <w:r>
              <w:rPr/>
              <w:t xml:space="preserve"> </w:t>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6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34,300,933</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2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419" w:type="dxa"/>
        <w:jc w:val="left"/>
        <w:tblInd w:w="0" w:type="dxa"/>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03/22/2023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182,507</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182,507</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Includes 2,500,000 shares of PRTH common stock held by Lori A. Priore, the spouse of Thomas C. Priore, and Bernard H. Smyers, in their capacity as trustees of the Thomas C. Priore Irrevocable 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Each restricted stock unit represents a contingent right to receive one share of the Issuer's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On March 22, 2023, the Reporting Person was granted 182,507 restricted stock units which vest 50% on March 22, 2024 and 50% on March 22, 2025 subject to the Reporting Person's continued employment with the Issuer.</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Thomas C. Priore</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Bradley J. Miller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6475" TargetMode="External"/><Relationship Id="rId4" Type="http://schemas.openxmlformats.org/officeDocument/2006/relationships/hyperlink" Target="http://www.sec.gov/cgi-bin/browse-edgar?action=getcompany&amp;CIK=00016535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710</Words>
  <CharactersWithSpaces>4400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