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94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37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O'Leary Tim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PARKWAY, SUITE 155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37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61,729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121,481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6.35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103,061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49,751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6.35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137,966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61,729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123,456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49,751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49,751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94,488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-2446655</wp:posOffset>
            </wp:positionV>
            <wp:extent cx="29210" cy="2451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2023, the Reporting Person was granted 185,185 restricted stock units. 185,185 vest subject to the Reporting Person's continued service as an employee of the Issuer as follows: 61,729 on September 19, 2024; 61,729 on September 19, 2025; and 61,727 on September 19,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2022, the Reporting Person was granted 149,254 restricted stock units. 149,254 vest subject to the Reporting Person's continued service as an employee of the Issuer as follows: 49,752 on September 19, 2023; 49,751 on September 19, 2024; and 49,751 on September 19, 2025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2024, the Reporting Person was granted 94,488 restricted stock units. 94,488 vest subject to the Reporting Person's continued service as an employee of the Issuer as follows: 31,496 on September 19, 2025; 31,496 on September 19, 2026; and 31,496 on September 19,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375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37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730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2024-10-03T08:43:22Z</dcterms:created>
  <dcterms:modified xsi:type="dcterms:W3CDTF">2024-10-03T08:43:22Z</dcterms:modified>
</cp:coreProperties>
</file>