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Priority Technology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2001 Westside Parkway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Suite 155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Alpharetta, GA 30004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December 9,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 Priority Technology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 (Reg. No. 333-283519)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Request for Acceleration of Effective Date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Priority Technology Holdings, Inc.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that the Securities and Exchange Commission accelerate the effective date of the above-referenced Registration Statement on Form S-3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so that the Registration Statement will be declared effective as of 4:01 p.m. Eastern time, on December 11, 2024, or as soon as practicable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thereafter. The Company hereby authorizes James Stevens at Troutman Pepper Hamilton Sanders LLP, the Company’s outside legal counsel, to orally modify or withdraw this request for acceleration.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Once the Registration Statement has been declared effective, please orally confirm that event with Mr. Stevens at (404) 885-2305.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Thank you for your assistance in this matter.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Priority Technology Holdings,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Thomas C. Priore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17145</wp:posOffset>
            </wp:positionV>
            <wp:extent cx="356616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Thomas C. Priore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President, Chief Executive Officer and Chairman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James 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2025-01-13T00:13:59Z</dcterms:created>
  <dcterms:modified xsi:type="dcterms:W3CDTF">2025-01-13T00:13:59Z</dcterms:modified>
</cp:coreProperties>
</file>